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spacing w:after="0" w:line="240" w:lineRule="auto"/>
        <w:rPr>
          <w:rFonts w:ascii="Bell MT" w:cs="Bell MT" w:eastAsia="Bell MT" w:hAnsi="Bell MT"/>
          <w:b w:val="1"/>
          <w:sz w:val="24"/>
          <w:szCs w:val="24"/>
        </w:rPr>
      </w:pPr>
      <w:r w:rsidDel="00000000" w:rsidR="00000000" w:rsidRPr="00000000">
        <w:rPr>
          <w:rFonts w:ascii="Bell MT" w:cs="Bell MT" w:eastAsia="Bell MT" w:hAnsi="Bell MT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2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sz w:val="28"/>
          <w:szCs w:val="28"/>
        </w:rPr>
        <w:drawing>
          <wp:inline distB="0" distT="0" distL="0" distR="0">
            <wp:extent cx="2095388" cy="110988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388" cy="11098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9639"/>
        </w:tabs>
        <w:spacing w:after="0" w:line="240" w:lineRule="auto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963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639"/>
        </w:tabs>
        <w:spacing w:after="0" w:line="240" w:lineRule="auto"/>
        <w:jc w:val="center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Classe  </w:t>
      </w:r>
    </w:p>
    <w:p w:rsidR="00000000" w:rsidDel="00000000" w:rsidP="00000000" w:rsidRDefault="00000000" w:rsidRPr="00000000" w14:paraId="00000006">
      <w:pPr>
        <w:tabs>
          <w:tab w:val="left" w:pos="963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963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A. S. . . .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63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357" w:hanging="357"/>
        <w:rPr>
          <w:rFonts w:ascii="Comic Sans MS" w:cs="Comic Sans MS" w:eastAsia="Comic Sans MS" w:hAnsi="Comic Sans MS"/>
          <w:sz w:val="18"/>
          <w:szCs w:val="1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18"/>
              <w:szCs w:val="18"/>
              <w:rtl w:val="0"/>
            </w:rPr>
            <w:t xml:space="preserve">□ Scuola Primaria “Astori” - Castelletto M.to -                                □ Scuola Primaria “U. Ollearo “ - San Salvatore M.to</w:t>
          </w:r>
        </w:sdtContent>
      </w:sdt>
    </w:p>
    <w:p w:rsidR="00000000" w:rsidDel="00000000" w:rsidP="00000000" w:rsidRDefault="00000000" w:rsidRPr="00000000" w14:paraId="0000000A">
      <w:pPr>
        <w:spacing w:after="0" w:line="240" w:lineRule="auto"/>
        <w:ind w:left="357" w:hanging="357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9639"/>
        </w:tabs>
        <w:spacing w:after="0" w:line="240" w:lineRule="auto"/>
        <w:jc w:val="both"/>
        <w:rPr>
          <w:rFonts w:ascii="Comic Sans MS" w:cs="Comic Sans MS" w:eastAsia="Comic Sans MS" w:hAnsi="Comic Sans MS"/>
          <w:sz w:val="18"/>
          <w:szCs w:val="1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18"/>
              <w:szCs w:val="18"/>
              <w:rtl w:val="0"/>
            </w:rPr>
            <w:t xml:space="preserve">□ Scuola Primaria “De Marziani” – Bassignana -</w:t>
          </w:r>
        </w:sdtContent>
      </w:sdt>
    </w:p>
    <w:p w:rsidR="00000000" w:rsidDel="00000000" w:rsidP="00000000" w:rsidRDefault="00000000" w:rsidRPr="00000000" w14:paraId="0000000D">
      <w:pPr>
        <w:tabs>
          <w:tab w:val="left" w:pos="963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963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963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Unità’ formativa transdisciplinare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963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963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9639"/>
        </w:tabs>
        <w:spacing w:after="0" w:line="240" w:lineRule="auto"/>
        <w:ind w:left="357" w:hanging="357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9639"/>
        </w:tabs>
        <w:spacing w:after="0" w:line="240" w:lineRule="auto"/>
        <w:ind w:left="357" w:hanging="357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6"/>
        <w:tblGridChange w:id="0">
          <w:tblGrid>
            <w:gridCol w:w="100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pos="9639"/>
              </w:tabs>
              <w:spacing w:after="0" w:before="24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Presentata nel Consiglio di Interclasse del mese 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color w:val="000000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L’UFT si colloca come momento di raccordo fra la fase di acquisizione delle conoscenze disciplinari e la loro trasformazione in competenze a carattere interdisciplinare: i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18"/>
          <w:szCs w:val="18"/>
          <w:rtl w:val="0"/>
        </w:rPr>
        <w:t xml:space="preserve">n quest’ ottica assumono particolare rilevanza le metodologie di comunicazione dei contenuti e la strutturazione di un contesto didattico in cui i contenuti stessi siano funzionali all’obiettivo formativo dell’UFT.    Pertanto essa non rappresenta un momento alternativo o sostitutivo delle tradizionali attività didattiche, ma la modalità per mezzo della quale le differenti aree disciplinari possono interagire per produrre un sapere unitario e pertanto realmente formativo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pos="360"/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60" w:hanging="36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Riferimento ai fini dell’azione formativa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Le competenze interdisciplinari da acquisire sono finalizzate a raggiungere il pieno sviluppo della persona, da acquisire attraverso: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720" w:hanging="36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il senso dell’esperienza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720" w:hanging="36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highlight w:val="white"/>
          <w:rtl w:val="0"/>
        </w:rPr>
        <w:t xml:space="preserve">l’educazione alla cittadinanza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720" w:hanging="360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l’alfabetizzazione di 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60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In tal senso l’alunno ha come traguardi formativi irrinunciabili: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4.0" w:type="dxa"/>
        <w:jc w:val="left"/>
        <w:tblInd w:w="-15.0" w:type="dxa"/>
        <w:tblLayout w:type="fixed"/>
        <w:tblLook w:val="0000"/>
      </w:tblPr>
      <w:tblGrid>
        <w:gridCol w:w="5157"/>
        <w:gridCol w:w="5187"/>
        <w:tblGridChange w:id="0">
          <w:tblGrid>
            <w:gridCol w:w="5157"/>
            <w:gridCol w:w="5187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una positiva interazione con l’ambiente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la capacità di risolvere problemi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la capacità di comprendere differenti linguaggi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720" w:firstLine="0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la consapevolezza del proprio pensiero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la coscienza dei propri diritti e doveri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lo sviluppo della creatività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2. Obiettivi formativi e competenze generali interdisciplinari</w:t>
      </w:r>
    </w:p>
    <w:p w:rsidR="00000000" w:rsidDel="00000000" w:rsidP="00000000" w:rsidRDefault="00000000" w:rsidRPr="00000000" w14:paraId="00000034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center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98.0" w:type="dxa"/>
        <w:jc w:val="left"/>
        <w:tblInd w:w="-53.0" w:type="dxa"/>
        <w:tblLayout w:type="fixed"/>
        <w:tblLook w:val="0000"/>
      </w:tblPr>
      <w:tblGrid>
        <w:gridCol w:w="1548"/>
        <w:gridCol w:w="3060"/>
        <w:gridCol w:w="5790"/>
        <w:tblGridChange w:id="0">
          <w:tblGrid>
            <w:gridCol w:w="1548"/>
            <w:gridCol w:w="3060"/>
            <w:gridCol w:w="5790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Ambito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Obiettivi formativi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Competenze generali</w:t>
            </w:r>
          </w:p>
          <w:p w:rsidR="00000000" w:rsidDel="00000000" w:rsidP="00000000" w:rsidRDefault="00000000" w:rsidRPr="00000000" w14:paraId="00000038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ind w:left="357" w:hanging="35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(interdisciplinari)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1.Della personalità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Conoscenza di sé</w:t>
            </w:r>
          </w:p>
          <w:p w:rsidR="00000000" w:rsidDel="00000000" w:rsidP="00000000" w:rsidRDefault="00000000" w:rsidRPr="00000000" w14:paraId="0000003D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Autoconsapevolezza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Maturazione della propria personalità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Autonomia 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Riconoscere la propria identità personale     </w:t>
            </w:r>
          </w:p>
          <w:p w:rsidR="00000000" w:rsidDel="00000000" w:rsidP="00000000" w:rsidRDefault="00000000" w:rsidRPr="00000000" w14:paraId="00000042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Accrescere l’autostima</w:t>
            </w:r>
          </w:p>
          <w:p w:rsidR="00000000" w:rsidDel="00000000" w:rsidP="00000000" w:rsidRDefault="00000000" w:rsidRPr="00000000" w14:paraId="00000043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ind w:left="357" w:hanging="35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Saper riconoscere fatti ed eventi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2. Relazionale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pos="0"/>
                <w:tab w:val="left" w:pos="142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Conoscenza e comprensione degli altri e dell’ambiente</w:t>
            </w:r>
          </w:p>
          <w:p w:rsidR="00000000" w:rsidDel="00000000" w:rsidP="00000000" w:rsidRDefault="00000000" w:rsidRPr="00000000" w14:paraId="00000047">
            <w:pPr>
              <w:tabs>
                <w:tab w:val="left" w:pos="0"/>
                <w:tab w:val="left" w:pos="142"/>
                <w:tab w:val="left" w:pos="708"/>
              </w:tabs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Interazione consapevole e corretta con gli altri</w:t>
            </w:r>
          </w:p>
          <w:p w:rsidR="00000000" w:rsidDel="00000000" w:rsidP="00000000" w:rsidRDefault="00000000" w:rsidRPr="00000000" w14:paraId="00000048">
            <w:pPr>
              <w:tabs>
                <w:tab w:val="left" w:pos="0"/>
                <w:tab w:val="left" w:pos="142"/>
                <w:tab w:val="left" w:pos="708"/>
              </w:tabs>
              <w:spacing w:after="0" w:line="240" w:lineRule="auto"/>
              <w:ind w:hanging="14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Acquisizione di modalità di relazione civili e democratiche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Rispettare e valorizzare l’ambiente</w:t>
            </w:r>
          </w:p>
          <w:p w:rsidR="00000000" w:rsidDel="00000000" w:rsidP="00000000" w:rsidRDefault="00000000" w:rsidRPr="00000000" w14:paraId="0000004A">
            <w:pPr>
              <w:tabs>
                <w:tab w:val="left" w:pos="142"/>
                <w:tab w:val="left" w:pos="284"/>
              </w:tabs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Conoscere gli altri, rispettandone le opinioni </w:t>
            </w:r>
          </w:p>
          <w:p w:rsidR="00000000" w:rsidDel="00000000" w:rsidP="00000000" w:rsidRDefault="00000000" w:rsidRPr="00000000" w14:paraId="0000004B">
            <w:pPr>
              <w:tabs>
                <w:tab w:val="left" w:pos="142"/>
                <w:tab w:val="left" w:pos="284"/>
              </w:tabs>
              <w:spacing w:after="0" w:line="240" w:lineRule="auto"/>
              <w:ind w:left="357" w:hanging="35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Essere consapevoli dei propri diritti e doveri nel rispetto reciproco.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3.Delle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competenze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Conoscenza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Saper osservare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Stimolare nuove conoscenze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Riconoscere gli elementi fondamentali di nuove conoscenze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357" w:hanging="357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Acquisire in modo stabile i contenuti fondamentali di una disciplina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Comprensione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Comprendere il senso letterale di ciò che si legge e si ascolta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Comprenderne il senso globale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Distinguere le informazioni essenziali da quelle secondarie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Saper cogliere analogie e differenze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Individuare le relazioni causa-effetto, spazio-tempo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Saper trarre conclusioni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Scelta degli strumenti operativi adeguati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Utilizzare in modo appropriato i vari linguaggi disciplinari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Applicare gli strumenti di una specifica disciplina (termini, schemi, regole, tecniche,...) in contesti diversi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Produzione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Esporre in modo chiaro i contenuti appresi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Elencare e ordinare dati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Utilizzare i contenuti appresi in contesti diversi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Applicare regole ed usare dati per risolvere esercitazioni assegnate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Saper proporre soluzioni alternative a situazioni e problemi dati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Riorganizzare in modo personale elementi noti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Spiegare verbalmente ciò che è espresso in altri linguaggi e viceversa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357" w:hanging="357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113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113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3. Articolazione dell’UFT</w:t>
      </w:r>
    </w:p>
    <w:p w:rsidR="00000000" w:rsidDel="00000000" w:rsidP="00000000" w:rsidRDefault="00000000" w:rsidRPr="00000000" w14:paraId="00000070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113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113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a) Ambito, obiettivo formativo e competenze interdisciplinari</w:t>
      </w:r>
    </w:p>
    <w:p w:rsidR="00000000" w:rsidDel="00000000" w:rsidP="00000000" w:rsidRDefault="00000000" w:rsidRPr="00000000" w14:paraId="00000072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60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34.0" w:type="dxa"/>
        <w:jc w:val="left"/>
        <w:tblInd w:w="-53.0" w:type="dxa"/>
        <w:tblLayout w:type="fixed"/>
        <w:tblLook w:val="0000"/>
      </w:tblPr>
      <w:tblGrid>
        <w:gridCol w:w="2204"/>
        <w:gridCol w:w="2376"/>
        <w:gridCol w:w="5654"/>
        <w:tblGridChange w:id="0">
          <w:tblGrid>
            <w:gridCol w:w="2204"/>
            <w:gridCol w:w="2376"/>
            <w:gridCol w:w="5654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Ambito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Obiettivo formativo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ind w:left="357" w:hanging="357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Competenza interdisciplinare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ind w:left="0" w:firstLine="0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pos="142"/>
                <w:tab w:val="left" w:pos="284"/>
                <w:tab w:val="left" w:pos="708"/>
              </w:tabs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pos="142"/>
                <w:tab w:val="left" w:pos="284"/>
              </w:tabs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E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b) Durata probabile:. . . </w:t>
      </w:r>
    </w:p>
    <w:p w:rsidR="00000000" w:rsidDel="00000000" w:rsidP="00000000" w:rsidRDefault="00000000" w:rsidRPr="00000000" w14:paraId="00000080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107.0" w:type="dxa"/>
        <w:jc w:val="left"/>
        <w:tblInd w:w="-53.0" w:type="dxa"/>
        <w:tblLayout w:type="fixed"/>
        <w:tblLook w:val="0000"/>
      </w:tblPr>
      <w:tblGrid>
        <w:gridCol w:w="1668"/>
        <w:gridCol w:w="2439"/>
        <w:tblGridChange w:id="0">
          <w:tblGrid>
            <w:gridCol w:w="1668"/>
            <w:gridCol w:w="2439"/>
          </w:tblGrid>
        </w:tblGridChange>
      </w:tblGrid>
      <w:tr>
        <w:trPr>
          <w:cantSplit w:val="0"/>
          <w:trHeight w:val="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c) Destinatari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jc w:val="both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◦ 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Classe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◦ 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Classi aperte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8"/>
                    <w:szCs w:val="28"/>
                    <w:rtl w:val="0"/>
                  </w:rPr>
                  <w:t xml:space="preserve">◦ </w:t>
                </w:r>
              </w:sdtContent>
            </w:sdt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Gruppo </w:t>
            </w:r>
          </w:p>
          <w:p w:rsidR="00000000" w:rsidDel="00000000" w:rsidP="00000000" w:rsidRDefault="00000000" w:rsidRPr="00000000" w14:paraId="00000085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ind w:left="357" w:hanging="357"/>
              <w:jc w:val="both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b w:val="1"/>
          <w:sz w:val="8"/>
          <w:szCs w:val="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4. Contributi disciplinari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75.0" w:type="dxa"/>
        <w:jc w:val="left"/>
        <w:tblInd w:w="-53.0" w:type="dxa"/>
        <w:tblLayout w:type="fixed"/>
        <w:tblLook w:val="0000"/>
      </w:tblPr>
      <w:tblGrid>
        <w:gridCol w:w="1380"/>
        <w:gridCol w:w="8795"/>
        <w:tblGridChange w:id="0">
          <w:tblGrid>
            <w:gridCol w:w="1380"/>
            <w:gridCol w:w="8795"/>
          </w:tblGrid>
        </w:tblGridChange>
      </w:tblGrid>
      <w:tr>
        <w:trPr>
          <w:cantSplit w:val="0"/>
          <w:trHeight w:val="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357" w:hanging="357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Contenuti funzionali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Linguistico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Artistico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Espressiva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Inglese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left="357" w:hanging="35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Musica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ind w:left="357" w:hanging="357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Arte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Corpo movimento sport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Religione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357" w:hanging="357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Storico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geografica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357" w:hanging="357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Matematico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Scientifico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ind w:left="357" w:hanging="357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Tecnologica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Scienze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Tecnologia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ind w:left="357" w:hanging="357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5. Verifica e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La verifica sarà attuata secondo le modalità stabilite dal Piano di Lavoro annuale, mentre la valutazione non potrà che essere di tipo formativo, dal momento che l’acquisizione di competenze interdisciplinari è un processo in costante divenire.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6. Monitoraggio e valutazione formativa dell’UFT precedente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Sulla base dei dati raccolti attraverso le verifiche si può ritenere che</w:t>
      </w:r>
    </w:p>
    <w:p w:rsidR="00000000" w:rsidDel="00000000" w:rsidP="00000000" w:rsidRDefault="00000000" w:rsidRPr="00000000" w14:paraId="000000C3">
      <w:pPr>
        <w:tabs>
          <w:tab w:val="left" w:pos="2108"/>
          <w:tab w:val="right" w:pos="5163"/>
          <w:tab w:val="left" w:pos="7998"/>
          <w:tab w:val="left" w:pos="9699"/>
        </w:tabs>
        <w:spacing w:after="0" w:line="240" w:lineRule="auto"/>
        <w:ind w:left="357" w:hanging="357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3.0" w:type="dxa"/>
        <w:jc w:val="left"/>
        <w:tblInd w:w="-53.0" w:type="dxa"/>
        <w:tblLayout w:type="fixed"/>
        <w:tblLook w:val="0000"/>
      </w:tblPr>
      <w:tblGrid>
        <w:gridCol w:w="5070"/>
        <w:gridCol w:w="5133"/>
        <w:tblGridChange w:id="0">
          <w:tblGrid>
            <w:gridCol w:w="5070"/>
            <w:gridCol w:w="5133"/>
          </w:tblGrid>
        </w:tblGridChange>
      </w:tblGrid>
      <w:tr>
        <w:trPr>
          <w:cantSplit w:val="0"/>
          <w:trHeight w:val="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jc w:val="both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La competenza interdisciplinare è stata conseguita dagli alunni, pur a differenti livelli, in maniera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ind w:left="355" w:hanging="355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Parziale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Adeguata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Approfondita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ind w:left="357" w:hanging="357"/>
              <w:jc w:val="both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Il coinvolgimento degli alunni nelle attività è risultato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Superficiale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Limitato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jc w:val="both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Attivo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ind w:left="155" w:hanging="15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Costruttivo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ind w:left="357" w:hanging="357"/>
              <w:jc w:val="both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Il periodo di tempo previsto per l’unità di 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Non necessità di dilazioni e si può procedere con la successiva unità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Necessita di una breve dilazione per permettere una maggiore solidità nei risultati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rPr>
                <w:rFonts w:ascii="Noto Sans Symbols" w:cs="Noto Sans Symbols" w:eastAsia="Noto Sans Symbols" w:hAnsi="Noto Sans Symbols"/>
                <w:sz w:val="16"/>
                <w:szCs w:val="16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Richiede di essere decisamente incrementato per affrontare meglio le difficoltà che sono emerse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rtl w:val="0"/>
              </w:rPr>
              <w:t xml:space="preserve">⬜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Data la natura dell’UFT, essa durerà per l’intero a.s., affiancandosi alle precedenti e alle successive</w:t>
            </w:r>
          </w:p>
          <w:p w:rsidR="00000000" w:rsidDel="00000000" w:rsidP="00000000" w:rsidRDefault="00000000" w:rsidRPr="00000000" w14:paraId="000000D2">
            <w:pPr>
              <w:tabs>
                <w:tab w:val="left" w:pos="2108"/>
                <w:tab w:val="right" w:pos="5163"/>
                <w:tab w:val="left" w:pos="7998"/>
                <w:tab w:val="left" w:pos="9699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0" w:line="240" w:lineRule="auto"/>
        <w:ind w:left="357" w:hanging="357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ind w:left="357" w:hanging="357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669" w:top="56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Gungsuh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Bell M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omic Sans MS" w:cs="Comic Sans MS" w:eastAsia="Comic Sans MS" w:hAnsi="Comic Sans MS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omic Sans MS" w:cs="Comic Sans MS" w:eastAsia="Comic Sans MS" w:hAnsi="Comic Sans MS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BellMT-regular.ttf"/><Relationship Id="rId6" Type="http://schemas.openxmlformats.org/officeDocument/2006/relationships/font" Target="fonts/BellMT-bold.ttf"/><Relationship Id="rId7" Type="http://schemas.openxmlformats.org/officeDocument/2006/relationships/font" Target="fonts/BellMT-italic.ttf"/><Relationship Id="rId8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P4s+nr7pzW+Mm+qKEh+OoUoIw==">AMUW2mX0vma08oIros7bBgK9LGt078vU0uMW0+ay+4gF8NI21Xl9SXQ56PZknCkkXjc1V/xxLUa/Zx5a/xI/utDQqipphBotog204dEhSAUqOEtCWqD0bf7bfu+38O83c9KfWggK54F9vZOnySNPI85cZT7X8VAoN64+SsHkYGPKSUL8uXw4QeDCIBasoVVryk8kpn+i8XDRGh9E3XeBWLmSGzkljsx3f/KHdosY5W7MQqe7rS4RANEHF5qZpX1S85t2k2qH2pQHTM+7pzOncAVBmIcq5ErH/y8VCDbPoRhqu5gHJVSWpJBlXyzgLo/VvMx47v1Uoe7B0i6al0n5I1BSOb3o4jkZCI8xINHCJ1Fg8gq4E71NL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2021-10-08T20:39:00Z</dcterms:created>
  <dc:creator>Account Microsoft</dc:creator>
</cp:coreProperties>
</file>